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仿宋_GB2312" w:hAnsi="仿宋_GB2312" w:eastAsia="仿宋_GB2312" w:cs="仿宋_GB2312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36"/>
          <w:sz w:val="28"/>
          <w:szCs w:val="28"/>
        </w:rPr>
        <w:t xml:space="preserve">政审回复函 </w:t>
      </w:r>
    </w:p>
    <w:p>
      <w:pPr>
        <w:spacing w:line="360" w:lineRule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________________（党委）：</w:t>
      </w:r>
    </w:p>
    <w:p>
      <w:pPr>
        <w:widowControl/>
        <w:spacing w:line="525" w:lineRule="atLeas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关于贵单位所需__________同志的政审情况，经审核该同志人事档案，回复如下：</w:t>
      </w:r>
    </w:p>
    <w:p>
      <w:pPr>
        <w:widowControl/>
        <w:spacing w:line="525" w:lineRule="atLeas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_________同志，身份证号：____________________；  性别____ ；_______年____月____日出生；学历__________；民族：______族；籍贯：__________；政治面貌：__________；其人事档案于_______年_____月转入我单位保存。</w:t>
      </w:r>
    </w:p>
    <w:p>
      <w:pPr>
        <w:widowControl/>
        <w:spacing w:line="525" w:lineRule="atLeas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根据其人事档案记载，该同志政治历史清楚，未发现违法违纪行为，未发现其参与“八九”政治风波及“法轮功”邪教活动。在其人事档案中，其家庭主要成员、直系亲属、主要社会关系中，未发现有重大政治历史问题记载。</w:t>
      </w:r>
    </w:p>
    <w:p>
      <w:pPr>
        <w:widowControl/>
        <w:spacing w:line="525" w:lineRule="atLeast"/>
        <w:ind w:left="479" w:leftChars="22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备注：________________________________________                                                   特此复函。</w:t>
      </w:r>
    </w:p>
    <w:p>
      <w:pPr>
        <w:widowControl/>
        <w:spacing w:line="525" w:lineRule="atLeas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</w:t>
      </w:r>
    </w:p>
    <w:p>
      <w:pPr>
        <w:widowControl/>
        <w:spacing w:line="525" w:lineRule="atLeas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widowControl/>
        <w:spacing w:line="525" w:lineRule="atLeas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widowControl/>
        <w:spacing w:line="525" w:lineRule="atLeast"/>
        <w:ind w:firstLine="5520" w:firstLineChars="23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（存档机构党委盖章）</w:t>
      </w:r>
    </w:p>
    <w:p>
      <w:pPr>
        <w:widowControl/>
        <w:spacing w:line="525" w:lineRule="atLeas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小孩斌</cp:lastModifiedBy>
  <dcterms:modified xsi:type="dcterms:W3CDTF">2019-10-09T06:47:14Z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